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ascii="仿宋_GB2312" w:eastAsia="仿宋_GB2312"/>
          <w:sz w:val="32"/>
          <w:szCs w:val="32"/>
        </w:rPr>
      </w:pPr>
      <w:r>
        <w:rPr>
          <w:rFonts w:hint="eastAsia" w:ascii="仿宋_GB2312" w:eastAsia="仿宋_GB2312"/>
          <w:sz w:val="32"/>
          <w:szCs w:val="32"/>
        </w:rPr>
        <w:t>附件2：</w:t>
      </w:r>
    </w:p>
    <w:p>
      <w:pPr>
        <w:spacing w:line="460" w:lineRule="exact"/>
        <w:jc w:val="center"/>
        <w:rPr>
          <w:rFonts w:ascii="方正小标宋简体" w:eastAsia="方正小标宋简体"/>
          <w:sz w:val="36"/>
          <w:szCs w:val="36"/>
        </w:rPr>
      </w:pPr>
      <w:r>
        <w:rPr>
          <w:rFonts w:hint="eastAsia" w:ascii="方正小标宋简体" w:eastAsia="方正小标宋简体"/>
          <w:sz w:val="36"/>
          <w:szCs w:val="36"/>
        </w:rPr>
        <w:t>工作坊简介</w:t>
      </w:r>
    </w:p>
    <w:p>
      <w:pPr>
        <w:spacing w:line="440" w:lineRule="exact"/>
        <w:ind w:firstLine="562" w:firstLineChars="200"/>
        <w:jc w:val="center"/>
        <w:rPr>
          <w:rFonts w:asciiTheme="minorEastAsia" w:hAnsiTheme="minorEastAsia"/>
          <w:b/>
          <w:sz w:val="28"/>
          <w:szCs w:val="28"/>
        </w:rPr>
      </w:pPr>
    </w:p>
    <w:p>
      <w:pPr>
        <w:spacing w:line="440" w:lineRule="exact"/>
        <w:ind w:firstLine="560" w:firstLineChars="200"/>
        <w:jc w:val="center"/>
        <w:rPr>
          <w:rFonts w:ascii="黑体" w:hAnsi="黑体" w:eastAsia="黑体"/>
          <w:sz w:val="28"/>
          <w:szCs w:val="28"/>
        </w:rPr>
      </w:pPr>
      <w:r>
        <w:rPr>
          <w:rFonts w:hint="eastAsia" w:ascii="黑体" w:hAnsi="黑体" w:eastAsia="黑体"/>
          <w:sz w:val="28"/>
          <w:szCs w:val="28"/>
        </w:rPr>
        <w:t>工作坊一：游戏化研习及游戏思维与设计</w:t>
      </w:r>
    </w:p>
    <w:p>
      <w:pPr>
        <w:spacing w:line="400" w:lineRule="exact"/>
        <w:rPr>
          <w:rFonts w:ascii="仿宋_GB2312" w:eastAsia="仿宋_GB2312" w:hAnsiTheme="minorEastAsia"/>
          <w:szCs w:val="21"/>
        </w:rPr>
      </w:pPr>
      <w:r>
        <w:rPr>
          <w:rFonts w:hint="eastAsia" w:ascii="仿宋_GB2312" w:eastAsia="仿宋_GB2312" w:hAnsiTheme="minorEastAsia"/>
          <w:szCs w:val="21"/>
        </w:rPr>
        <w:t>【学习目标】</w:t>
      </w:r>
    </w:p>
    <w:p>
      <w:pPr>
        <w:spacing w:line="400" w:lineRule="exact"/>
        <w:ind w:firstLine="210" w:firstLineChars="100"/>
        <w:rPr>
          <w:rFonts w:ascii="仿宋_GB2312" w:hAnsi="宋体" w:eastAsia="仿宋_GB2312"/>
          <w:szCs w:val="21"/>
        </w:rPr>
      </w:pPr>
      <w:r>
        <w:rPr>
          <w:rFonts w:hint="eastAsia" w:ascii="仿宋_GB2312" w:hAnsi="宋体" w:eastAsia="仿宋_GB2312"/>
          <w:szCs w:val="21"/>
        </w:rPr>
        <w:t>一、学习并体验拼音游戏、识字游戏，以及基于小组合作基础上的游戏化学习管理策略。</w:t>
      </w:r>
    </w:p>
    <w:p>
      <w:pPr>
        <w:spacing w:line="400" w:lineRule="exact"/>
        <w:ind w:firstLine="210" w:firstLineChars="100"/>
        <w:rPr>
          <w:rFonts w:ascii="仿宋_GB2312" w:hAnsi="宋体" w:eastAsia="仿宋_GB2312"/>
          <w:szCs w:val="21"/>
        </w:rPr>
      </w:pPr>
      <w:r>
        <w:rPr>
          <w:rFonts w:hint="eastAsia" w:ascii="仿宋_GB2312" w:hAnsi="宋体" w:eastAsia="仿宋_GB2312"/>
          <w:szCs w:val="21"/>
        </w:rPr>
        <w:t>二、从设计的角度思考游戏的设计，理解游戏元素及其在教学中的运用。</w:t>
      </w:r>
    </w:p>
    <w:p>
      <w:pPr>
        <w:spacing w:line="400" w:lineRule="exact"/>
        <w:rPr>
          <w:rFonts w:ascii="仿宋_GB2312" w:eastAsia="仿宋_GB2312" w:hAnsiTheme="minorEastAsia"/>
          <w:szCs w:val="21"/>
        </w:rPr>
      </w:pPr>
      <w:r>
        <w:rPr>
          <w:rFonts w:hint="eastAsia" w:ascii="仿宋_GB2312" w:eastAsia="仿宋_GB2312" w:hAnsiTheme="minorEastAsia"/>
          <w:szCs w:val="21"/>
        </w:rPr>
        <w:t>【主题简介】</w:t>
      </w:r>
    </w:p>
    <w:p>
      <w:pPr>
        <w:spacing w:line="400" w:lineRule="exact"/>
        <w:rPr>
          <w:rFonts w:ascii="仿宋_GB2312" w:hAnsi="宋体" w:eastAsia="仿宋_GB2312"/>
          <w:szCs w:val="21"/>
        </w:rPr>
      </w:pPr>
      <w:r>
        <w:rPr>
          <w:rFonts w:hint="eastAsia" w:ascii="仿宋_GB2312" w:hAnsi="宋体" w:eastAsia="仿宋_GB2312"/>
          <w:szCs w:val="21"/>
        </w:rPr>
        <w:t>一、游戏管理策略介绍；游戏管理策略体验；拼音游戏、字词游戏体验；回顾总结。</w:t>
      </w:r>
    </w:p>
    <w:p>
      <w:pPr>
        <w:spacing w:line="400" w:lineRule="exact"/>
        <w:rPr>
          <w:rFonts w:ascii="仿宋_GB2312" w:hAnsi="宋体" w:eastAsia="仿宋_GB2312"/>
          <w:szCs w:val="21"/>
        </w:rPr>
      </w:pPr>
      <w:r>
        <w:rPr>
          <w:rFonts w:hint="eastAsia" w:ascii="仿宋_GB2312" w:hAnsi="宋体" w:eastAsia="仿宋_GB2312"/>
          <w:szCs w:val="21"/>
        </w:rPr>
        <w:t>二、什么是游戏化？怎样在教学中实现游戏化？案例分享（游戏元素在教学中）、用设计思维进行游戏设计：逆向思维、添加调料、合理迁移……</w:t>
      </w:r>
    </w:p>
    <w:p>
      <w:pPr>
        <w:spacing w:line="400" w:lineRule="exact"/>
        <w:rPr>
          <w:rFonts w:ascii="仿宋_GB2312" w:hAnsi="宋体" w:eastAsia="仿宋_GB2312"/>
          <w:szCs w:val="21"/>
        </w:rPr>
      </w:pPr>
      <w:r>
        <w:rPr>
          <w:rFonts w:hint="eastAsia" w:ascii="仿宋_GB2312" w:hAnsi="宋体" w:eastAsia="仿宋_GB2312"/>
          <w:szCs w:val="21"/>
        </w:rPr>
        <w:t>【主讲人】</w:t>
      </w:r>
    </w:p>
    <w:p>
      <w:pPr>
        <w:spacing w:line="400" w:lineRule="exact"/>
        <w:rPr>
          <w:rFonts w:ascii="仿宋_GB2312" w:hAnsi="宋体" w:eastAsia="仿宋_GB2312"/>
          <w:szCs w:val="21"/>
        </w:rPr>
      </w:pPr>
      <w:r>
        <w:rPr>
          <w:rFonts w:hint="eastAsia" w:ascii="仿宋_GB2312" w:hAnsi="宋体" w:eastAsia="仿宋_GB2312"/>
          <w:b/>
          <w:szCs w:val="21"/>
        </w:rPr>
        <w:t>陶红松</w:t>
      </w:r>
      <w:r>
        <w:rPr>
          <w:rFonts w:hint="eastAsia" w:ascii="仿宋_GB2312" w:hAnsi="宋体" w:eastAsia="仿宋_GB2312"/>
          <w:szCs w:val="21"/>
        </w:rPr>
        <w:t>，深圳市福田东海实验小学语文教师，中国游戏专业委员会理事，广东省教师继续教育专家库成员，深圳市2016年度教师提名奖获得者，福田区名师工作室主持人。曾先后出版了三本教育教学专著《合作学习设计与实践》《玩出精彩的课堂》《语文游戏36计》，主持设计的《七彩拼音牌获得国家专利》，先后在《小学语文教师》《中国教师报》等各级刊物上发表文章20余篇。</w:t>
      </w:r>
    </w:p>
    <w:p>
      <w:pPr>
        <w:spacing w:line="400" w:lineRule="exact"/>
        <w:rPr>
          <w:rFonts w:ascii="仿宋_GB2312" w:hAnsi="宋体" w:eastAsia="仿宋_GB2312"/>
          <w:szCs w:val="21"/>
        </w:rPr>
      </w:pPr>
      <w:r>
        <w:rPr>
          <w:rFonts w:hint="eastAsia" w:ascii="仿宋_GB2312" w:hAnsi="宋体" w:eastAsia="仿宋_GB2312"/>
          <w:b/>
          <w:szCs w:val="21"/>
        </w:rPr>
        <w:t>谭春兰，</w:t>
      </w:r>
      <w:r>
        <w:rPr>
          <w:rFonts w:hint="eastAsia" w:ascii="仿宋_GB2312" w:hAnsi="宋体" w:eastAsia="仿宋_GB2312"/>
          <w:szCs w:val="21"/>
        </w:rPr>
        <w:t>深圳市福田区东海实验小学课程研究中心副主任，深圳市骨干教师，广东省骨干教师培训班成员，深圳市信息技术骨干班成员。深圳市福田区核心教研组核心命题组成员，发表论文事余篇，《小策略大转变》系列自主学习篇第一作者、《小游戏大智慧》副编委。</w:t>
      </w:r>
    </w:p>
    <w:p>
      <w:pPr>
        <w:spacing w:line="400" w:lineRule="exact"/>
        <w:rPr>
          <w:rFonts w:ascii="仿宋_GB2312" w:hAnsi="宋体" w:eastAsia="仿宋_GB2312"/>
          <w:szCs w:val="21"/>
        </w:rPr>
      </w:pPr>
    </w:p>
    <w:p>
      <w:pPr>
        <w:spacing w:line="440" w:lineRule="exact"/>
        <w:ind w:firstLine="560" w:firstLineChars="200"/>
        <w:jc w:val="center"/>
        <w:rPr>
          <w:rFonts w:ascii="黑体" w:hAnsi="黑体" w:eastAsia="黑体"/>
          <w:sz w:val="28"/>
          <w:szCs w:val="28"/>
        </w:rPr>
      </w:pPr>
      <w:r>
        <w:rPr>
          <w:rFonts w:hint="eastAsia" w:ascii="黑体" w:hAnsi="黑体" w:eastAsia="黑体"/>
          <w:sz w:val="28"/>
          <w:szCs w:val="28"/>
        </w:rPr>
        <w:t>工作坊二：教学游戏的设计与制作</w:t>
      </w:r>
    </w:p>
    <w:p>
      <w:pPr>
        <w:spacing w:line="400" w:lineRule="exact"/>
        <w:rPr>
          <w:rFonts w:ascii="仿宋_GB2312" w:eastAsia="仿宋_GB2312" w:hAnsiTheme="minorEastAsia"/>
          <w:szCs w:val="21"/>
        </w:rPr>
      </w:pPr>
      <w:r>
        <w:rPr>
          <w:rFonts w:hint="eastAsia" w:ascii="仿宋_GB2312" w:eastAsia="仿宋_GB2312" w:hAnsiTheme="minorEastAsia"/>
          <w:szCs w:val="21"/>
        </w:rPr>
        <w:t>【学习目标】</w:t>
      </w:r>
    </w:p>
    <w:p>
      <w:pPr>
        <w:spacing w:line="400" w:lineRule="exact"/>
        <w:rPr>
          <w:rFonts w:ascii="仿宋_GB2312" w:eastAsia="仿宋_GB2312" w:hAnsiTheme="minorEastAsia"/>
          <w:szCs w:val="21"/>
        </w:rPr>
      </w:pPr>
      <w:r>
        <w:rPr>
          <w:rFonts w:hint="eastAsia" w:ascii="仿宋_GB2312" w:eastAsia="仿宋_GB2312" w:hAnsiTheme="minorEastAsia"/>
          <w:szCs w:val="21"/>
        </w:rPr>
        <w:t>快速掌握游戏的设计方法和制作技术并能独立完成一个所授学科的教学游戏。</w:t>
      </w:r>
    </w:p>
    <w:p>
      <w:pPr>
        <w:spacing w:line="400" w:lineRule="exact"/>
        <w:rPr>
          <w:rFonts w:ascii="仿宋_GB2312" w:eastAsia="仿宋_GB2312" w:hAnsiTheme="minorEastAsia"/>
          <w:szCs w:val="21"/>
        </w:rPr>
      </w:pPr>
      <w:r>
        <w:rPr>
          <w:rFonts w:hint="eastAsia" w:ascii="仿宋_GB2312" w:eastAsia="仿宋_GB2312" w:hAnsiTheme="minorEastAsia"/>
          <w:szCs w:val="21"/>
        </w:rPr>
        <w:t>【主题简介】</w:t>
      </w:r>
    </w:p>
    <w:p>
      <w:pPr>
        <w:spacing w:line="400" w:lineRule="exact"/>
        <w:rPr>
          <w:rFonts w:ascii="仿宋_GB2312" w:eastAsia="仿宋_GB2312" w:hAnsiTheme="minorEastAsia"/>
          <w:szCs w:val="21"/>
        </w:rPr>
      </w:pPr>
      <w:r>
        <w:rPr>
          <w:rFonts w:hint="eastAsia" w:ascii="仿宋_GB2312" w:eastAsia="仿宋_GB2312" w:hAnsiTheme="minorEastAsia"/>
          <w:szCs w:val="21"/>
        </w:rPr>
        <w:t>主题（一）：教学游戏的设计策略及相关技术</w:t>
      </w:r>
    </w:p>
    <w:p>
      <w:pPr>
        <w:spacing w:line="400" w:lineRule="exact"/>
        <w:rPr>
          <w:rFonts w:ascii="仿宋_GB2312" w:eastAsia="仿宋_GB2312" w:hAnsiTheme="minorEastAsia"/>
          <w:szCs w:val="21"/>
        </w:rPr>
      </w:pPr>
      <w:r>
        <w:rPr>
          <w:rFonts w:hint="eastAsia" w:ascii="仿宋_GB2312" w:eastAsia="仿宋_GB2312" w:hAnsiTheme="minorEastAsia"/>
          <w:szCs w:val="21"/>
        </w:rPr>
        <w:t>主题（二）：各学科优秀教学游戏分享</w:t>
      </w:r>
    </w:p>
    <w:p>
      <w:pPr>
        <w:spacing w:line="400" w:lineRule="exact"/>
        <w:rPr>
          <w:rFonts w:ascii="仿宋_GB2312" w:eastAsia="仿宋_GB2312" w:hAnsiTheme="minorEastAsia"/>
          <w:szCs w:val="21"/>
        </w:rPr>
      </w:pPr>
      <w:r>
        <w:rPr>
          <w:rFonts w:hint="eastAsia" w:ascii="仿宋_GB2312" w:eastAsia="仿宋_GB2312" w:hAnsiTheme="minorEastAsia"/>
          <w:szCs w:val="21"/>
        </w:rPr>
        <w:t xml:space="preserve">主题（三）：利用编程技术制作教学小游戏 </w:t>
      </w:r>
    </w:p>
    <w:p>
      <w:pPr>
        <w:spacing w:line="400" w:lineRule="exact"/>
        <w:rPr>
          <w:rFonts w:ascii="仿宋_GB2312" w:eastAsia="仿宋_GB2312" w:hAnsiTheme="minorEastAsia"/>
          <w:szCs w:val="21"/>
        </w:rPr>
      </w:pPr>
      <w:r>
        <w:rPr>
          <w:rFonts w:hint="eastAsia" w:ascii="仿宋_GB2312" w:eastAsia="仿宋_GB2312" w:hAnsiTheme="minorEastAsia"/>
          <w:szCs w:val="21"/>
        </w:rPr>
        <w:t>主题（四）：掌握几种简单的游戏交互形式</w:t>
      </w:r>
    </w:p>
    <w:p>
      <w:pPr>
        <w:spacing w:line="400" w:lineRule="exact"/>
        <w:rPr>
          <w:rFonts w:ascii="仿宋_GB2312" w:eastAsia="仿宋_GB2312" w:hAnsiTheme="minorEastAsia"/>
          <w:szCs w:val="21"/>
        </w:rPr>
      </w:pPr>
      <w:r>
        <w:rPr>
          <w:rFonts w:hint="eastAsia" w:ascii="仿宋_GB2312" w:eastAsia="仿宋_GB2312" w:hAnsiTheme="minorEastAsia"/>
          <w:szCs w:val="21"/>
        </w:rPr>
        <w:t>主题（五）：利用思维导图设计教学游戏</w:t>
      </w:r>
    </w:p>
    <w:p>
      <w:pPr>
        <w:spacing w:line="400" w:lineRule="exact"/>
        <w:rPr>
          <w:rFonts w:ascii="仿宋_GB2312" w:eastAsia="仿宋_GB2312" w:hAnsiTheme="minorEastAsia"/>
          <w:szCs w:val="21"/>
        </w:rPr>
      </w:pPr>
      <w:r>
        <w:rPr>
          <w:rFonts w:hint="eastAsia" w:ascii="仿宋_GB2312" w:eastAsia="仿宋_GB2312" w:hAnsiTheme="minorEastAsia"/>
          <w:szCs w:val="21"/>
        </w:rPr>
        <w:t>主题（六）：完成并分享自己的小游戏</w:t>
      </w:r>
    </w:p>
    <w:p>
      <w:pPr>
        <w:spacing w:line="400" w:lineRule="exact"/>
        <w:rPr>
          <w:rFonts w:ascii="仿宋_GB2312" w:eastAsia="仿宋_GB2312" w:hAnsiTheme="minorEastAsia"/>
          <w:szCs w:val="21"/>
        </w:rPr>
      </w:pPr>
      <w:r>
        <w:rPr>
          <w:rFonts w:hint="eastAsia" w:ascii="仿宋_GB2312" w:eastAsia="仿宋_GB2312" w:hAnsiTheme="minorEastAsia"/>
          <w:szCs w:val="21"/>
        </w:rPr>
        <w:t>【主讲人】</w:t>
      </w:r>
    </w:p>
    <w:p>
      <w:pPr>
        <w:spacing w:line="400" w:lineRule="exact"/>
        <w:rPr>
          <w:rFonts w:ascii="仿宋_GB2312" w:eastAsia="仿宋_GB2312" w:hAnsiTheme="minorEastAsia"/>
          <w:szCs w:val="21"/>
        </w:rPr>
      </w:pPr>
      <w:r>
        <w:rPr>
          <w:rFonts w:hint="eastAsia" w:ascii="仿宋_GB2312" w:eastAsia="仿宋_GB2312" w:hAnsiTheme="minorEastAsia"/>
          <w:b/>
          <w:szCs w:val="21"/>
        </w:rPr>
        <w:t>胡定坤，</w:t>
      </w:r>
      <w:r>
        <w:rPr>
          <w:rFonts w:hint="eastAsia" w:ascii="仿宋_GB2312" w:eastAsia="仿宋_GB2312" w:hAnsiTheme="minorEastAsia"/>
          <w:szCs w:val="21"/>
        </w:rPr>
        <w:t>成都市锦江区教师进修学校主任、高级教师、国家网络工程师、川师特聘研究员、国培项目授课专家。十万注册教师的“小学教师联盟”获全国优秀网站；综合实践课程多媒体游戏“智慧森林”获国家新闻出版总署优秀奖；制作的百余个游戏化课件获全国、省市奖。</w:t>
      </w:r>
    </w:p>
    <w:p>
      <w:pPr>
        <w:spacing w:line="400" w:lineRule="exact"/>
        <w:rPr>
          <w:rFonts w:ascii="仿宋_GB2312" w:eastAsia="仿宋_GB2312" w:hAnsiTheme="minorEastAsia"/>
          <w:szCs w:val="21"/>
        </w:rPr>
      </w:pPr>
      <w:r>
        <w:rPr>
          <w:rFonts w:hint="eastAsia" w:ascii="仿宋_GB2312" w:eastAsia="仿宋_GB2312" w:hAnsiTheme="minorEastAsia"/>
          <w:b/>
          <w:szCs w:val="21"/>
        </w:rPr>
        <w:t>马玉敏，</w:t>
      </w:r>
      <w:r>
        <w:rPr>
          <w:rFonts w:hint="eastAsia" w:ascii="仿宋_GB2312" w:eastAsia="仿宋_GB2312" w:hAnsiTheme="minorEastAsia"/>
          <w:szCs w:val="21"/>
        </w:rPr>
        <w:t>成都市锦江区教师进修学校教研员、 四川师范大学教育技术硕士，擅长课件和游戏化资源设计与制作。</w:t>
      </w:r>
    </w:p>
    <w:p>
      <w:pPr>
        <w:spacing w:line="400" w:lineRule="exact"/>
        <w:rPr>
          <w:rFonts w:ascii="仿宋_GB2312" w:eastAsia="仿宋_GB2312" w:hAnsiTheme="minorEastAsia"/>
          <w:szCs w:val="21"/>
        </w:rPr>
      </w:pPr>
    </w:p>
    <w:p>
      <w:pPr>
        <w:spacing w:line="400" w:lineRule="exact"/>
        <w:rPr>
          <w:rFonts w:ascii="仿宋_GB2312" w:eastAsia="仿宋_GB2312" w:hAnsiTheme="minorEastAsia"/>
          <w:szCs w:val="21"/>
        </w:rPr>
      </w:pPr>
    </w:p>
    <w:p>
      <w:pPr>
        <w:spacing w:line="440" w:lineRule="exact"/>
        <w:ind w:firstLine="560" w:firstLineChars="200"/>
        <w:jc w:val="center"/>
        <w:rPr>
          <w:rFonts w:ascii="黑体" w:hAnsi="黑体" w:eastAsia="黑体"/>
          <w:sz w:val="28"/>
          <w:szCs w:val="28"/>
        </w:rPr>
      </w:pPr>
      <w:r>
        <w:rPr>
          <w:rFonts w:hint="eastAsia" w:ascii="黑体" w:hAnsi="黑体" w:eastAsia="黑体"/>
          <w:sz w:val="28"/>
          <w:szCs w:val="28"/>
        </w:rPr>
        <w:t>工作坊三：如何用教学游戏，迁移知识技能</w:t>
      </w:r>
    </w:p>
    <w:p>
      <w:pPr>
        <w:spacing w:line="400" w:lineRule="exact"/>
        <w:rPr>
          <w:rFonts w:ascii="仿宋_GB2312" w:hAnsi="宋体" w:eastAsia="仿宋_GB2312"/>
          <w:szCs w:val="21"/>
        </w:rPr>
      </w:pPr>
      <w:r>
        <w:rPr>
          <w:rFonts w:hint="eastAsia" w:ascii="仿宋_GB2312" w:hAnsi="宋体" w:eastAsia="仿宋_GB2312"/>
          <w:szCs w:val="21"/>
        </w:rPr>
        <w:t>【学习目标】</w:t>
      </w:r>
    </w:p>
    <w:p>
      <w:pPr>
        <w:spacing w:line="400" w:lineRule="exact"/>
        <w:rPr>
          <w:rFonts w:ascii="仿宋_GB2312" w:hAnsi="宋体" w:eastAsia="仿宋_GB2312"/>
          <w:szCs w:val="21"/>
        </w:rPr>
      </w:pPr>
      <w:r>
        <w:rPr>
          <w:rFonts w:hint="eastAsia" w:ascii="仿宋_GB2312" w:hAnsi="宋体" w:eastAsia="仿宋_GB2312"/>
          <w:szCs w:val="21"/>
        </w:rPr>
        <w:t>现场通过游戏和讲授，帮助学员认知并掌握，如何应用教学游戏，如何迁移教学中的知识技能。</w:t>
      </w:r>
    </w:p>
    <w:p>
      <w:pPr>
        <w:spacing w:line="400" w:lineRule="exact"/>
        <w:rPr>
          <w:rFonts w:ascii="仿宋_GB2312" w:hAnsi="宋体" w:eastAsia="仿宋_GB2312"/>
          <w:szCs w:val="21"/>
        </w:rPr>
      </w:pPr>
      <w:r>
        <w:rPr>
          <w:rFonts w:hint="eastAsia" w:ascii="仿宋_GB2312" w:hAnsi="宋体" w:eastAsia="仿宋_GB2312"/>
          <w:szCs w:val="21"/>
        </w:rPr>
        <w:t>【主题简介】</w:t>
      </w:r>
    </w:p>
    <w:p>
      <w:pPr>
        <w:spacing w:line="400" w:lineRule="exact"/>
        <w:rPr>
          <w:rFonts w:ascii="仿宋_GB2312" w:hAnsi="宋体" w:eastAsia="仿宋_GB2312"/>
          <w:szCs w:val="21"/>
        </w:rPr>
      </w:pPr>
      <w:r>
        <w:rPr>
          <w:rFonts w:hint="eastAsia" w:ascii="仿宋_GB2312" w:hAnsi="宋体" w:eastAsia="仿宋_GB2312"/>
          <w:szCs w:val="21"/>
        </w:rPr>
        <w:t>课程特点：现场多个教学的游戏体验与剖析，脑洞大开；互动式授课，案例分享。</w:t>
      </w:r>
    </w:p>
    <w:p>
      <w:pPr>
        <w:spacing w:line="400" w:lineRule="exact"/>
        <w:rPr>
          <w:rFonts w:ascii="仿宋_GB2312" w:hAnsi="宋体" w:eastAsia="仿宋_GB2312"/>
          <w:szCs w:val="21"/>
        </w:rPr>
      </w:pPr>
      <w:r>
        <w:rPr>
          <w:rFonts w:hint="eastAsia" w:ascii="仿宋_GB2312" w:hAnsi="宋体" w:eastAsia="仿宋_GB2312"/>
          <w:szCs w:val="21"/>
        </w:rPr>
        <w:t>课程内容：</w:t>
      </w:r>
    </w:p>
    <w:p>
      <w:pPr>
        <w:spacing w:line="400" w:lineRule="exact"/>
        <w:rPr>
          <w:rFonts w:ascii="仿宋_GB2312" w:hAnsi="宋体" w:eastAsia="仿宋_GB2312"/>
          <w:szCs w:val="21"/>
        </w:rPr>
      </w:pPr>
      <w:r>
        <w:rPr>
          <w:rFonts w:hint="eastAsia" w:ascii="仿宋_GB2312" w:hAnsi="宋体" w:eastAsia="仿宋_GB2312"/>
          <w:szCs w:val="21"/>
        </w:rPr>
        <w:t>一，为何要用教学游戏？</w:t>
      </w:r>
    </w:p>
    <w:p>
      <w:pPr>
        <w:spacing w:line="400" w:lineRule="exact"/>
        <w:rPr>
          <w:rFonts w:ascii="仿宋_GB2312" w:hAnsi="宋体" w:eastAsia="仿宋_GB2312"/>
          <w:szCs w:val="21"/>
        </w:rPr>
      </w:pPr>
      <w:r>
        <w:rPr>
          <w:rFonts w:hint="eastAsia" w:ascii="仿宋_GB2312" w:hAnsi="宋体" w:eastAsia="仿宋_GB2312"/>
          <w:szCs w:val="21"/>
        </w:rPr>
        <w:t>什么是教学游戏？游戏与学习到底有什么关系？教学游戏的作用何在？</w:t>
      </w:r>
    </w:p>
    <w:p>
      <w:pPr>
        <w:spacing w:line="400" w:lineRule="exact"/>
        <w:rPr>
          <w:rFonts w:ascii="仿宋_GB2312" w:hAnsi="宋体" w:eastAsia="仿宋_GB2312"/>
          <w:szCs w:val="21"/>
        </w:rPr>
      </w:pPr>
      <w:r>
        <w:rPr>
          <w:rFonts w:hint="eastAsia" w:ascii="仿宋_GB2312" w:hAnsi="宋体" w:eastAsia="仿宋_GB2312"/>
          <w:szCs w:val="21"/>
        </w:rPr>
        <w:t>二，如何用游戏，快速迁移知识技能？</w:t>
      </w:r>
    </w:p>
    <w:p>
      <w:pPr>
        <w:spacing w:line="400" w:lineRule="exact"/>
        <w:rPr>
          <w:rFonts w:ascii="仿宋_GB2312" w:hAnsi="宋体" w:eastAsia="仿宋_GB2312"/>
          <w:szCs w:val="21"/>
        </w:rPr>
      </w:pPr>
      <w:r>
        <w:rPr>
          <w:rFonts w:hint="eastAsia" w:ascii="仿宋_GB2312" w:hAnsi="宋体" w:eastAsia="仿宋_GB2312"/>
          <w:szCs w:val="21"/>
        </w:rPr>
        <w:t>以终为始的设计模式，与学习任务结合；如何确定学习的目标？如何萃取关键点？设计教学游戏的流程；</w:t>
      </w:r>
    </w:p>
    <w:p>
      <w:pPr>
        <w:spacing w:line="400" w:lineRule="exact"/>
        <w:rPr>
          <w:rFonts w:ascii="仿宋_GB2312" w:hAnsi="宋体" w:eastAsia="仿宋_GB2312"/>
          <w:szCs w:val="21"/>
        </w:rPr>
      </w:pPr>
      <w:r>
        <w:rPr>
          <w:rFonts w:hint="eastAsia" w:ascii="仿宋_GB2312" w:hAnsi="宋体" w:eastAsia="仿宋_GB2312"/>
          <w:szCs w:val="21"/>
        </w:rPr>
        <w:t>关注2大要素，提升设计精准度；关注学习内容，根据不同的思维，设计游戏；关注学生情况，如何设计游戏；现场多个教学游戏活动与分析</w:t>
      </w:r>
    </w:p>
    <w:p>
      <w:pPr>
        <w:spacing w:line="400" w:lineRule="exact"/>
        <w:rPr>
          <w:rFonts w:ascii="仿宋_GB2312" w:hAnsi="宋体" w:eastAsia="仿宋_GB2312"/>
          <w:szCs w:val="21"/>
        </w:rPr>
      </w:pPr>
      <w:r>
        <w:rPr>
          <w:rFonts w:hint="eastAsia" w:ascii="仿宋_GB2312" w:hAnsi="宋体" w:eastAsia="仿宋_GB2312"/>
          <w:szCs w:val="21"/>
        </w:rPr>
        <w:t>三，分享与回顾。</w:t>
      </w:r>
    </w:p>
    <w:p>
      <w:pPr>
        <w:spacing w:line="400" w:lineRule="exact"/>
        <w:rPr>
          <w:rFonts w:ascii="仿宋_GB2312" w:hAnsi="宋体" w:eastAsia="仿宋_GB2312"/>
          <w:szCs w:val="21"/>
        </w:rPr>
      </w:pPr>
      <w:r>
        <w:rPr>
          <w:rFonts w:hint="eastAsia" w:ascii="仿宋_GB2312" w:hAnsi="宋体" w:eastAsia="仿宋_GB2312"/>
          <w:szCs w:val="21"/>
        </w:rPr>
        <w:t>【主讲人】</w:t>
      </w:r>
    </w:p>
    <w:p>
      <w:pPr>
        <w:spacing w:line="400" w:lineRule="exact"/>
        <w:rPr>
          <w:rFonts w:ascii="仿宋_GB2312" w:hAnsi="宋体" w:eastAsia="仿宋_GB2312"/>
          <w:szCs w:val="21"/>
        </w:rPr>
      </w:pPr>
      <w:r>
        <w:rPr>
          <w:rFonts w:hint="eastAsia" w:ascii="仿宋_GB2312" w:hAnsi="宋体" w:eastAsia="仿宋_GB2312"/>
          <w:b/>
          <w:szCs w:val="21"/>
        </w:rPr>
        <w:t>贺丹，</w:t>
      </w:r>
      <w:r>
        <w:rPr>
          <w:rFonts w:hint="eastAsia" w:ascii="仿宋_GB2312" w:hAnsi="宋体" w:eastAsia="仿宋_GB2312"/>
          <w:szCs w:val="21"/>
        </w:rPr>
        <w:t>北京慧之桥咨询有限公司的高级顾问，拥有20年在培训咨询行业的管理经验，授课经验，拥有多年的教学游戏设计与实施经验。中国教育技术协会教学游戏化专业委员会专家《培训》杂志主办“云学堂”杯全国企业微课大赛 获得“最佳导师奖”人力资源和社会保障部营销师职业讲师。曾经为中国教育技术协会教学游戏专业委员会团体会员，北京海淀和平小学，北京交大附中分校，北京海淀教育党校等老师做过该工作坊，并获得好评。</w:t>
      </w:r>
    </w:p>
    <w:p>
      <w:pPr>
        <w:spacing w:line="400" w:lineRule="exact"/>
        <w:rPr>
          <w:rFonts w:ascii="仿宋_GB2312" w:eastAsia="仿宋_GB2312"/>
          <w:sz w:val="24"/>
          <w:szCs w:val="24"/>
        </w:rPr>
      </w:pPr>
    </w:p>
    <w:p>
      <w:pPr>
        <w:widowControl/>
        <w:jc w:val="left"/>
        <w:rPr>
          <w:rFonts w:ascii="仿宋_GB2312" w:eastAsia="仿宋_GB2312"/>
          <w:sz w:val="24"/>
          <w:szCs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709878"/>
      <w:docPartObj>
        <w:docPartGallery w:val="autotext"/>
      </w:docPartObj>
    </w:sdtPr>
    <w:sdtContent>
      <w:p>
        <w:pPr>
          <w:pStyle w:val="5"/>
          <w:jc w:val="center"/>
        </w:pPr>
        <w:r>
          <w:rPr>
            <w:rFonts w:hint="eastAsia"/>
          </w:rPr>
          <w:t>-</w:t>
        </w:r>
        <w:r>
          <w:fldChar w:fldCharType="begin"/>
        </w:r>
        <w:r>
          <w:instrText xml:space="preserve">PAGE   \* MERGEFORMAT</w:instrText>
        </w:r>
        <w:r>
          <w:fldChar w:fldCharType="separate"/>
        </w:r>
        <w:r>
          <w:rPr>
            <w:lang w:val="zh-CN"/>
          </w:rPr>
          <w:t>10</w:t>
        </w:r>
        <w:r>
          <w:fldChar w:fldCharType="end"/>
        </w:r>
        <w:r>
          <w:rPr>
            <w:rFonts w:hint="eastAsia"/>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2B"/>
    <w:rsid w:val="00005F05"/>
    <w:rsid w:val="00011905"/>
    <w:rsid w:val="000C2D17"/>
    <w:rsid w:val="001D50C6"/>
    <w:rsid w:val="001E2B27"/>
    <w:rsid w:val="00223315"/>
    <w:rsid w:val="0023464A"/>
    <w:rsid w:val="0025173E"/>
    <w:rsid w:val="002B0DA3"/>
    <w:rsid w:val="002B23BE"/>
    <w:rsid w:val="002D3F64"/>
    <w:rsid w:val="002E18BA"/>
    <w:rsid w:val="00313425"/>
    <w:rsid w:val="00336DFF"/>
    <w:rsid w:val="003420B0"/>
    <w:rsid w:val="00381EC6"/>
    <w:rsid w:val="003A1223"/>
    <w:rsid w:val="003A7023"/>
    <w:rsid w:val="003C26B9"/>
    <w:rsid w:val="0040404A"/>
    <w:rsid w:val="00405873"/>
    <w:rsid w:val="004242D4"/>
    <w:rsid w:val="00431C32"/>
    <w:rsid w:val="0043311F"/>
    <w:rsid w:val="00450BD9"/>
    <w:rsid w:val="004A4AD8"/>
    <w:rsid w:val="0057280C"/>
    <w:rsid w:val="0057581A"/>
    <w:rsid w:val="005B2933"/>
    <w:rsid w:val="005C0236"/>
    <w:rsid w:val="00606D92"/>
    <w:rsid w:val="00617848"/>
    <w:rsid w:val="00661B4F"/>
    <w:rsid w:val="00696DAF"/>
    <w:rsid w:val="00697C20"/>
    <w:rsid w:val="006A442B"/>
    <w:rsid w:val="006E4635"/>
    <w:rsid w:val="007042F1"/>
    <w:rsid w:val="0070783B"/>
    <w:rsid w:val="0071491B"/>
    <w:rsid w:val="007162B1"/>
    <w:rsid w:val="007330F5"/>
    <w:rsid w:val="007423C1"/>
    <w:rsid w:val="0075600B"/>
    <w:rsid w:val="007606D5"/>
    <w:rsid w:val="007739C8"/>
    <w:rsid w:val="007742C9"/>
    <w:rsid w:val="00797E78"/>
    <w:rsid w:val="007C11F1"/>
    <w:rsid w:val="008803FC"/>
    <w:rsid w:val="008A75D7"/>
    <w:rsid w:val="008C5AD7"/>
    <w:rsid w:val="00915B4E"/>
    <w:rsid w:val="0098108F"/>
    <w:rsid w:val="0099093A"/>
    <w:rsid w:val="009A5569"/>
    <w:rsid w:val="009C499C"/>
    <w:rsid w:val="009D2FE8"/>
    <w:rsid w:val="009E5841"/>
    <w:rsid w:val="00A01182"/>
    <w:rsid w:val="00A06EB7"/>
    <w:rsid w:val="00A633AF"/>
    <w:rsid w:val="00A71BF2"/>
    <w:rsid w:val="00A8588F"/>
    <w:rsid w:val="00A87E4D"/>
    <w:rsid w:val="00AB0BCE"/>
    <w:rsid w:val="00AC5A66"/>
    <w:rsid w:val="00AF19F3"/>
    <w:rsid w:val="00AF3BD9"/>
    <w:rsid w:val="00B216E4"/>
    <w:rsid w:val="00B6380C"/>
    <w:rsid w:val="00B67D36"/>
    <w:rsid w:val="00BB1436"/>
    <w:rsid w:val="00BB554A"/>
    <w:rsid w:val="00BC0CA4"/>
    <w:rsid w:val="00C24A3D"/>
    <w:rsid w:val="00C31460"/>
    <w:rsid w:val="00C44060"/>
    <w:rsid w:val="00C44B7F"/>
    <w:rsid w:val="00C77A2C"/>
    <w:rsid w:val="00C868F2"/>
    <w:rsid w:val="00C93B60"/>
    <w:rsid w:val="00CA3958"/>
    <w:rsid w:val="00CD0415"/>
    <w:rsid w:val="00CF4250"/>
    <w:rsid w:val="00D048FE"/>
    <w:rsid w:val="00D109EE"/>
    <w:rsid w:val="00D12051"/>
    <w:rsid w:val="00D14BEB"/>
    <w:rsid w:val="00D71DA6"/>
    <w:rsid w:val="00D7404D"/>
    <w:rsid w:val="00D91FED"/>
    <w:rsid w:val="00D93F2B"/>
    <w:rsid w:val="00DE6853"/>
    <w:rsid w:val="00E10EC2"/>
    <w:rsid w:val="00E5000A"/>
    <w:rsid w:val="00E63AB3"/>
    <w:rsid w:val="00E82EBB"/>
    <w:rsid w:val="00E86B7C"/>
    <w:rsid w:val="00EE313D"/>
    <w:rsid w:val="00EE4915"/>
    <w:rsid w:val="00EF3C5A"/>
    <w:rsid w:val="00F02D13"/>
    <w:rsid w:val="00F54B48"/>
    <w:rsid w:val="00F635E1"/>
    <w:rsid w:val="00FC590C"/>
    <w:rsid w:val="044A4884"/>
    <w:rsid w:val="1AFF14B1"/>
    <w:rsid w:val="73AB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qFormat/>
    <w:uiPriority w:val="99"/>
    <w:rPr>
      <w:b/>
      <w:bCs/>
    </w:rPr>
  </w:style>
  <w:style w:type="paragraph" w:styleId="3">
    <w:name w:val="annotation text"/>
    <w:basedOn w:val="1"/>
    <w:link w:val="13"/>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character" w:customStyle="1" w:styleId="13">
    <w:name w:val="批注文字 字符"/>
    <w:basedOn w:val="7"/>
    <w:link w:val="3"/>
    <w:semiHidden/>
    <w:qFormat/>
    <w:uiPriority w:val="99"/>
  </w:style>
  <w:style w:type="character" w:customStyle="1" w:styleId="14">
    <w:name w:val="批注主题 字符"/>
    <w:basedOn w:val="13"/>
    <w:link w:val="2"/>
    <w:semiHidden/>
    <w:qFormat/>
    <w:uiPriority w:val="99"/>
    <w:rPr>
      <w:b/>
      <w:bCs/>
    </w:rPr>
  </w:style>
  <w:style w:type="character" w:customStyle="1" w:styleId="15">
    <w:name w:val="批注框文本 字符"/>
    <w:basedOn w:val="7"/>
    <w:link w:val="4"/>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632</Words>
  <Characters>3608</Characters>
  <Lines>30</Lines>
  <Paragraphs>8</Paragraphs>
  <ScaleCrop>false</ScaleCrop>
  <LinksUpToDate>false</LinksUpToDate>
  <CharactersWithSpaces>4232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2018-03-17T09:37:00Z</dcterms:created>
  <dc:creator>Administrator</dc:creator>
  <cp:lastModifiedBy>nan</cp:lastModifiedBy>
  <dcterms:modified xsi:type="dcterms:W3CDTF">2018-03-28T04:12:30Z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